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德州公用水务集团有限公司</w:t>
      </w:r>
    </w:p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val="en-US" w:eastAsia="zh-CN"/>
        </w:rPr>
        <w:t>天润自来水</w:t>
      </w:r>
      <w:r>
        <w:rPr>
          <w:rFonts w:hint="eastAsia"/>
          <w:sz w:val="40"/>
          <w:szCs w:val="48"/>
          <w:lang w:eastAsia="zh-CN"/>
        </w:rPr>
        <w:t>有限公司</w:t>
      </w:r>
    </w:p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val="en-US" w:eastAsia="zh-CN"/>
        </w:rPr>
        <w:t>8月水质检测月报表</w:t>
      </w:r>
    </w:p>
    <w:tbl>
      <w:tblPr>
        <w:tblStyle w:val="4"/>
        <w:tblpPr w:leftFromText="180" w:rightFromText="180" w:vertAnchor="page" w:horzAnchor="page" w:tblpX="1920" w:tblpY="3622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15"/>
        <w:gridCol w:w="1755"/>
        <w:gridCol w:w="1305"/>
        <w:gridCol w:w="1240"/>
        <w:gridCol w:w="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815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eastAsia="zh-CN"/>
              </w:rPr>
              <w:t>检品名称：出厂清水</w:t>
            </w:r>
            <w:bookmarkStart w:id="0" w:name="_GoBack"/>
            <w:bookmarkEnd w:id="0"/>
          </w:p>
          <w:p>
            <w:pP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eastAsia="zh-CN"/>
              </w:rPr>
              <w:t>采样时间：</w:t>
            </w: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日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采样及评价依据：GB 5749--2022《生活饮用水卫生标准》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标准值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测定值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总大肠菌群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CFU/100 mL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不得检出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未检出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大肠埃希氏菌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CFU/100 mL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不得检出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未检出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菌落总数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CFU</w:t>
            </w:r>
            <w:r>
              <w:rPr>
                <w:rFonts w:hint="default" w:ascii="Times New Roman" w:hAnsi="Times New Roman" w:cs="Times New Roman"/>
                <w:sz w:val="18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未检出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≤0.01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铬</w:t>
            </w:r>
            <w:r>
              <w:rPr>
                <w:rFonts w:hint="default" w:ascii="Times New Roman" w:hAnsi="Times New Roman" w:cs="Times New Roman"/>
                <w:spacing w:val="20"/>
                <w:szCs w:val="21"/>
                <w:lang w:eastAsia="zh-CN"/>
              </w:rPr>
              <w:t>（六价）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≤ 0.05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＜0.004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≤0.01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＜0.0025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汞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≤0.001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氰化物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氟化物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szCs w:val="21"/>
              </w:rPr>
              <w:t>1.0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 xml:space="preserve"> 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硝酸盐</w:t>
            </w:r>
          </w:p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（以N计）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≤10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before="26" w:after="26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3.05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三氯甲烷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≤0.06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0.000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一氯二溴甲烷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0.1 </w:t>
            </w:r>
          </w:p>
        </w:tc>
        <w:tc>
          <w:tcPr>
            <w:tcW w:w="1240" w:type="dxa"/>
            <w:vAlign w:val="center"/>
          </w:tcPr>
          <w:p>
            <w:pPr>
              <w:spacing w:before="26" w:after="26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0.0002 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二氯一溴甲烷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0.06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0.0002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三溴甲烷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0.1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三卤甲烷（三氯甲烷、一氯二溴甲烷、二氯一溴甲烷、三溴甲烷的总和）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1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17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二氯乙酸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0.05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>0.002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三氯乙酸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0.1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>0.001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19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溴酸盐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0.005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亚氯酸盐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≤0.7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氯酸盐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≤0.7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色度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度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≤15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52" w:lineRule="atLeast"/>
              <w:jc w:val="center"/>
              <w:textAlignment w:val="top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23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浑浊度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NTU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</w:rPr>
              <w:t>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臭和味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无量纲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无异臭、异味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肉眼可见物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无量纲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无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PH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6.5～8.5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7.81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27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28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t>0.0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29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铜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≤1.0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≤1.0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氯化物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≤250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硫酸盐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≤250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溶解性总固体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 xml:space="preserve">≤1000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676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cs="Times New Roman"/>
                <w:spacing w:val="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总硬度</w:t>
            </w:r>
          </w:p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highlight w:val="none"/>
              </w:rPr>
              <w:t>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≤450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  <w:lang w:eastAsia="zh-CN"/>
              </w:rPr>
              <w:t>高锰酸盐指数</w:t>
            </w:r>
            <w:r>
              <w:rPr>
                <w:rFonts w:hint="default" w:ascii="Times New Roman" w:hAnsi="Times New Roman" w:cs="Times New Roman"/>
                <w:highlight w:val="none"/>
              </w:rPr>
              <w:t>（以O</w:t>
            </w:r>
            <w:r>
              <w:rPr>
                <w:rFonts w:hint="default" w:ascii="Times New Roman" w:hAnsi="Times New Roman" w:cs="Times New Roman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1.44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氨（以N计）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0.5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总α放射性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Bq</w:t>
            </w:r>
            <w:r>
              <w:rPr>
                <w:rFonts w:hint="default" w:ascii="Times New Roman" w:hAnsi="Times New Roman" w:cs="Times New Roman"/>
              </w:rPr>
              <w:t>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≤0.5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总β放射性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Bq</w:t>
            </w:r>
            <w:r>
              <w:rPr>
                <w:rFonts w:hint="default" w:ascii="Times New Roman" w:hAnsi="Times New Roman" w:cs="Times New Roman"/>
              </w:rPr>
              <w:t>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cs="Times New Roman"/>
                <w:spacing w:val="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氯气及</w:t>
            </w:r>
          </w:p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游离氯制剂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≥0.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0"/>
                <w:szCs w:val="21"/>
              </w:rPr>
              <w:t>一氯胺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≥0.05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0"/>
                <w:szCs w:val="21"/>
              </w:rPr>
              <w:t>臭氧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二氧化氯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≥0.02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说明：1.本检测数据由德州公用水务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集团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清源水质检测有限公司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根据国家住建部《城市供水管理规定》的要求公布水质信息。　　</w:t>
      </w:r>
    </w:p>
    <w:p>
      <w:pPr>
        <w:ind w:firstLine="422" w:firstLineChars="200"/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2.本次检测依据为国家《生活饮用水标准检验方法》GB/T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5750-2006,评价依据为国家《生活饮用水卫生标准》GB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5749-20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 3.本次月检43项全部合格，可放心使用。</w:t>
      </w:r>
    </w:p>
    <w:p>
      <w:pPr>
        <w:jc w:val="right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mIyNjJmMjQzNzc3OTkwZDAxZTdjMzI3Y2EyZDcifQ=="/>
  </w:docVars>
  <w:rsids>
    <w:rsidRoot w:val="32F4273D"/>
    <w:rsid w:val="008B031B"/>
    <w:rsid w:val="00C123A1"/>
    <w:rsid w:val="00CE4F27"/>
    <w:rsid w:val="010A29DC"/>
    <w:rsid w:val="01F87103"/>
    <w:rsid w:val="02074E39"/>
    <w:rsid w:val="02D43061"/>
    <w:rsid w:val="03912F41"/>
    <w:rsid w:val="03A569EC"/>
    <w:rsid w:val="03F30D9C"/>
    <w:rsid w:val="040861C0"/>
    <w:rsid w:val="04C563A7"/>
    <w:rsid w:val="053F2B56"/>
    <w:rsid w:val="0543133D"/>
    <w:rsid w:val="055A7CC8"/>
    <w:rsid w:val="05751FF7"/>
    <w:rsid w:val="057C3A30"/>
    <w:rsid w:val="057F2574"/>
    <w:rsid w:val="05C50C59"/>
    <w:rsid w:val="06310B6D"/>
    <w:rsid w:val="06E92BD5"/>
    <w:rsid w:val="0703364C"/>
    <w:rsid w:val="070C49F0"/>
    <w:rsid w:val="079E48B8"/>
    <w:rsid w:val="08B201EB"/>
    <w:rsid w:val="08F8136C"/>
    <w:rsid w:val="0970184A"/>
    <w:rsid w:val="09A63241"/>
    <w:rsid w:val="0A386CCF"/>
    <w:rsid w:val="0A473A38"/>
    <w:rsid w:val="0AC41D88"/>
    <w:rsid w:val="0AF70897"/>
    <w:rsid w:val="0CFF0F1B"/>
    <w:rsid w:val="0D996B35"/>
    <w:rsid w:val="0DBB0313"/>
    <w:rsid w:val="0E674FF8"/>
    <w:rsid w:val="0F2E0E9B"/>
    <w:rsid w:val="0F8222A4"/>
    <w:rsid w:val="0F9D0AAE"/>
    <w:rsid w:val="1101412A"/>
    <w:rsid w:val="120D730E"/>
    <w:rsid w:val="120F6AE1"/>
    <w:rsid w:val="126D62A4"/>
    <w:rsid w:val="127C058F"/>
    <w:rsid w:val="140E20BB"/>
    <w:rsid w:val="141A2ADF"/>
    <w:rsid w:val="14C32EBC"/>
    <w:rsid w:val="155642E1"/>
    <w:rsid w:val="15742C3E"/>
    <w:rsid w:val="158226E9"/>
    <w:rsid w:val="158B7907"/>
    <w:rsid w:val="159E27A9"/>
    <w:rsid w:val="15C16F70"/>
    <w:rsid w:val="16831C06"/>
    <w:rsid w:val="18C43513"/>
    <w:rsid w:val="18D71FFA"/>
    <w:rsid w:val="18DC0B6A"/>
    <w:rsid w:val="18EB43EE"/>
    <w:rsid w:val="1AD03EF7"/>
    <w:rsid w:val="1B7E5FB1"/>
    <w:rsid w:val="1BCF6689"/>
    <w:rsid w:val="1CE0198C"/>
    <w:rsid w:val="1DE40399"/>
    <w:rsid w:val="1E335DF7"/>
    <w:rsid w:val="1E8F1370"/>
    <w:rsid w:val="1F5616A2"/>
    <w:rsid w:val="200B7CBC"/>
    <w:rsid w:val="2054506D"/>
    <w:rsid w:val="209D0D1F"/>
    <w:rsid w:val="21154A3C"/>
    <w:rsid w:val="21B86BFD"/>
    <w:rsid w:val="21ED025C"/>
    <w:rsid w:val="22570E80"/>
    <w:rsid w:val="22937EB2"/>
    <w:rsid w:val="22CC4B22"/>
    <w:rsid w:val="23861D55"/>
    <w:rsid w:val="23E62E99"/>
    <w:rsid w:val="24390D5F"/>
    <w:rsid w:val="24542DAB"/>
    <w:rsid w:val="24664C7B"/>
    <w:rsid w:val="25916027"/>
    <w:rsid w:val="259D5A88"/>
    <w:rsid w:val="25A230FB"/>
    <w:rsid w:val="25EE00A5"/>
    <w:rsid w:val="269B0C54"/>
    <w:rsid w:val="276F4B0D"/>
    <w:rsid w:val="279B0B9E"/>
    <w:rsid w:val="27B42307"/>
    <w:rsid w:val="27D83B17"/>
    <w:rsid w:val="281C4C20"/>
    <w:rsid w:val="287B6BEE"/>
    <w:rsid w:val="288531A2"/>
    <w:rsid w:val="289604FB"/>
    <w:rsid w:val="28D84CF1"/>
    <w:rsid w:val="29D5290F"/>
    <w:rsid w:val="29F32F58"/>
    <w:rsid w:val="2A752F2D"/>
    <w:rsid w:val="2B2C47EE"/>
    <w:rsid w:val="2B4D1CC3"/>
    <w:rsid w:val="2BB27835"/>
    <w:rsid w:val="2BBF2B58"/>
    <w:rsid w:val="2BCC0174"/>
    <w:rsid w:val="2BFA1839"/>
    <w:rsid w:val="2C355FB5"/>
    <w:rsid w:val="2C66357C"/>
    <w:rsid w:val="2CDC2E6E"/>
    <w:rsid w:val="2CE272C7"/>
    <w:rsid w:val="2D0F4FFB"/>
    <w:rsid w:val="2DFF45BE"/>
    <w:rsid w:val="2E1D349F"/>
    <w:rsid w:val="2E520B5A"/>
    <w:rsid w:val="2E6230DE"/>
    <w:rsid w:val="2E7D437C"/>
    <w:rsid w:val="2F994F4F"/>
    <w:rsid w:val="300E12F2"/>
    <w:rsid w:val="30804864"/>
    <w:rsid w:val="30CB22DA"/>
    <w:rsid w:val="30D51269"/>
    <w:rsid w:val="3129655F"/>
    <w:rsid w:val="31E21FE9"/>
    <w:rsid w:val="3295402C"/>
    <w:rsid w:val="32A80597"/>
    <w:rsid w:val="32F4273D"/>
    <w:rsid w:val="332E466B"/>
    <w:rsid w:val="334B4C31"/>
    <w:rsid w:val="33C143E2"/>
    <w:rsid w:val="34853B4C"/>
    <w:rsid w:val="34E16064"/>
    <w:rsid w:val="350F5EC5"/>
    <w:rsid w:val="3513258D"/>
    <w:rsid w:val="353041E3"/>
    <w:rsid w:val="35530F7B"/>
    <w:rsid w:val="35FB7167"/>
    <w:rsid w:val="36091E40"/>
    <w:rsid w:val="36A42C23"/>
    <w:rsid w:val="36D0055C"/>
    <w:rsid w:val="372B09DB"/>
    <w:rsid w:val="375331EB"/>
    <w:rsid w:val="37B547D3"/>
    <w:rsid w:val="37BE184F"/>
    <w:rsid w:val="384C286B"/>
    <w:rsid w:val="39C42579"/>
    <w:rsid w:val="39FD1220"/>
    <w:rsid w:val="3A866B99"/>
    <w:rsid w:val="3AF11193"/>
    <w:rsid w:val="3B2E3ECA"/>
    <w:rsid w:val="3B8511C6"/>
    <w:rsid w:val="3CC206C7"/>
    <w:rsid w:val="3D063EDC"/>
    <w:rsid w:val="3D1A315D"/>
    <w:rsid w:val="3D69631C"/>
    <w:rsid w:val="3D800082"/>
    <w:rsid w:val="3D8E49BB"/>
    <w:rsid w:val="3ED25BE0"/>
    <w:rsid w:val="3EE009B4"/>
    <w:rsid w:val="3F0538C0"/>
    <w:rsid w:val="3FF22C1F"/>
    <w:rsid w:val="40AC2199"/>
    <w:rsid w:val="410127AD"/>
    <w:rsid w:val="415637BF"/>
    <w:rsid w:val="41994793"/>
    <w:rsid w:val="41FF00C1"/>
    <w:rsid w:val="43370E9A"/>
    <w:rsid w:val="437C1161"/>
    <w:rsid w:val="438B10CA"/>
    <w:rsid w:val="443B4A85"/>
    <w:rsid w:val="44A616A1"/>
    <w:rsid w:val="44FE1BB9"/>
    <w:rsid w:val="469254B9"/>
    <w:rsid w:val="46B9574F"/>
    <w:rsid w:val="47297257"/>
    <w:rsid w:val="47AC3472"/>
    <w:rsid w:val="481A1B72"/>
    <w:rsid w:val="49143DD3"/>
    <w:rsid w:val="49F45CF3"/>
    <w:rsid w:val="4A767D68"/>
    <w:rsid w:val="4B2B2C5F"/>
    <w:rsid w:val="4C0720D0"/>
    <w:rsid w:val="4C2B6653"/>
    <w:rsid w:val="4C3803A1"/>
    <w:rsid w:val="4C8B61DF"/>
    <w:rsid w:val="4CB66B41"/>
    <w:rsid w:val="4CCB73E9"/>
    <w:rsid w:val="4D34700C"/>
    <w:rsid w:val="4EC42AC1"/>
    <w:rsid w:val="4EF21B28"/>
    <w:rsid w:val="4FDF76F0"/>
    <w:rsid w:val="50082658"/>
    <w:rsid w:val="505A5B71"/>
    <w:rsid w:val="51120C78"/>
    <w:rsid w:val="513A580C"/>
    <w:rsid w:val="513F1564"/>
    <w:rsid w:val="528374C6"/>
    <w:rsid w:val="531620E8"/>
    <w:rsid w:val="53335F03"/>
    <w:rsid w:val="53E436E2"/>
    <w:rsid w:val="54C75293"/>
    <w:rsid w:val="54E40E89"/>
    <w:rsid w:val="55B90028"/>
    <w:rsid w:val="564D4072"/>
    <w:rsid w:val="56C72935"/>
    <w:rsid w:val="575D205C"/>
    <w:rsid w:val="57760E0D"/>
    <w:rsid w:val="57B17886"/>
    <w:rsid w:val="57C82F22"/>
    <w:rsid w:val="57F93523"/>
    <w:rsid w:val="589B1D18"/>
    <w:rsid w:val="598A4FBF"/>
    <w:rsid w:val="59C67CCB"/>
    <w:rsid w:val="5A053EA9"/>
    <w:rsid w:val="5A0A2CF6"/>
    <w:rsid w:val="5A121C43"/>
    <w:rsid w:val="5AEC2640"/>
    <w:rsid w:val="5B257229"/>
    <w:rsid w:val="5C0E6552"/>
    <w:rsid w:val="5C205D85"/>
    <w:rsid w:val="5C2D52F5"/>
    <w:rsid w:val="5CD620F5"/>
    <w:rsid w:val="5D323585"/>
    <w:rsid w:val="5E044627"/>
    <w:rsid w:val="5F393DC2"/>
    <w:rsid w:val="5F903A2E"/>
    <w:rsid w:val="602D1499"/>
    <w:rsid w:val="602E128B"/>
    <w:rsid w:val="608B48B5"/>
    <w:rsid w:val="60D63332"/>
    <w:rsid w:val="61135EB8"/>
    <w:rsid w:val="618B0AB2"/>
    <w:rsid w:val="61EB2550"/>
    <w:rsid w:val="62533AAD"/>
    <w:rsid w:val="629C194E"/>
    <w:rsid w:val="62B162B6"/>
    <w:rsid w:val="63077D6B"/>
    <w:rsid w:val="630A4487"/>
    <w:rsid w:val="632C14B3"/>
    <w:rsid w:val="635051A2"/>
    <w:rsid w:val="642D6E1E"/>
    <w:rsid w:val="65076F22"/>
    <w:rsid w:val="65285AE0"/>
    <w:rsid w:val="663B2977"/>
    <w:rsid w:val="66C90CE3"/>
    <w:rsid w:val="66F34E69"/>
    <w:rsid w:val="67803E53"/>
    <w:rsid w:val="68085EEC"/>
    <w:rsid w:val="691B3B5C"/>
    <w:rsid w:val="6A54508E"/>
    <w:rsid w:val="6AB34C71"/>
    <w:rsid w:val="6BA20934"/>
    <w:rsid w:val="6CE047CA"/>
    <w:rsid w:val="6D141D27"/>
    <w:rsid w:val="6F300B8C"/>
    <w:rsid w:val="6F5F70B6"/>
    <w:rsid w:val="6F9F7969"/>
    <w:rsid w:val="6FBA64A2"/>
    <w:rsid w:val="703A5A0E"/>
    <w:rsid w:val="704D6C3C"/>
    <w:rsid w:val="707E3873"/>
    <w:rsid w:val="70B3402E"/>
    <w:rsid w:val="70E406D0"/>
    <w:rsid w:val="71264843"/>
    <w:rsid w:val="716D4303"/>
    <w:rsid w:val="71783C5A"/>
    <w:rsid w:val="72114C1B"/>
    <w:rsid w:val="72353FAD"/>
    <w:rsid w:val="72425BE5"/>
    <w:rsid w:val="72BD557C"/>
    <w:rsid w:val="73D977F2"/>
    <w:rsid w:val="745D2553"/>
    <w:rsid w:val="74933140"/>
    <w:rsid w:val="74D205A8"/>
    <w:rsid w:val="74EA1B3C"/>
    <w:rsid w:val="756A4D8B"/>
    <w:rsid w:val="756E2E81"/>
    <w:rsid w:val="75A16F2D"/>
    <w:rsid w:val="76AB687D"/>
    <w:rsid w:val="770B6BC5"/>
    <w:rsid w:val="775C4A17"/>
    <w:rsid w:val="77707A61"/>
    <w:rsid w:val="77994777"/>
    <w:rsid w:val="78E64974"/>
    <w:rsid w:val="7A67427C"/>
    <w:rsid w:val="7A676879"/>
    <w:rsid w:val="7AE95734"/>
    <w:rsid w:val="7B021B14"/>
    <w:rsid w:val="7BDF310F"/>
    <w:rsid w:val="7C122FCF"/>
    <w:rsid w:val="7CD33F08"/>
    <w:rsid w:val="7CE57AAC"/>
    <w:rsid w:val="7DC60A93"/>
    <w:rsid w:val="7E201EA5"/>
    <w:rsid w:val="7EBA2C31"/>
    <w:rsid w:val="7F3F1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1136</Characters>
  <Lines>0</Lines>
  <Paragraphs>0</Paragraphs>
  <TotalTime>0</TotalTime>
  <ScaleCrop>false</ScaleCrop>
  <LinksUpToDate>false</LinksUpToDate>
  <CharactersWithSpaces>1201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2017-06-29T01:22:00Z</dcterms:created>
  <dc:creator>Administrator</dc:creator>
  <cp:lastModifiedBy>zy</cp:lastModifiedBy>
  <dcterms:modified xsi:type="dcterms:W3CDTF">2023-09-07T06:13:40Z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7F35BF377B3A4FC7896D770DBB5C0102_13</vt:lpwstr>
  </property>
</Properties>
</file>